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0" w:right="0" w:firstLine="567"/>
        <w:jc w:val="right"/>
        <w:spacing w:line="425" w:lineRule="exact"/>
        <w:rPr>
          <w:rFonts w:ascii="Times New Roman" w:hAnsi="Times New Roman" w:cs="Times New Roman"/>
          <w:sz w:val="36"/>
          <w:szCs w:val="36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  <w:lang w:bidi="ru-RU"/>
        </w:rPr>
        <w:t xml:space="preserve">Приложение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1</w:t>
      </w:r>
      <w:r>
        <w:rPr>
          <w:rFonts w:ascii="Times New Roman" w:hAnsi="Times New Roman" w:cs="Times New Roman"/>
          <w:sz w:val="36"/>
          <w:szCs w:val="36"/>
          <w:highlight w:val="white"/>
          <w:u w:val="none"/>
        </w:rPr>
      </w:r>
      <w:r>
        <w:rPr>
          <w:rFonts w:ascii="Times New Roman" w:hAnsi="Times New Roman" w:cs="Times New Roman"/>
          <w:sz w:val="36"/>
          <w:szCs w:val="36"/>
          <w:highlight w:val="white"/>
          <w:u w:val="none"/>
        </w:rPr>
      </w:r>
    </w:p>
    <w:p>
      <w:pPr>
        <w:contextualSpacing w:val="0"/>
        <w:ind w:left="-567" w:right="0" w:firstLine="567"/>
        <w:jc w:val="center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  <w:u w:val="none"/>
        </w:rPr>
        <w:t xml:space="preserve">Деятельность хакерских группировок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1. 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Core Werewolf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сылки электронных писем, во вложениях которых прикреплен исполняемый файл с расширением «.exe», после запуска которого осуществляется демонстрация документа-приманки и внедрение на целевую систему программного обеспечения для удаленного доступа «UltraVNC»;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содержится исполняемый файл с наименованием «Отсканированные_документы_371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Выписка по противнику на доклад_по_08_08_командиру.pdf.exe». После запуска пользователем указанного исполняемого файла осуществляется демонстрация документа-приманки и внедрение на целевую систему программного обеспечения для удаленного доступа «UltraVNC»;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прикреплен исполняемы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й файл с наименованием «Спецификация 13_Гидравлика.pdf.exe». После запуска пользователем указанного исполняемого файла осуществляется выполнение вредоносного скрипта и внедрение на целевую систему программного обеспечения для удаленного доступа «UltraVNC»;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прикреплен исполняемый файл с наимен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ованием «Отсканированые документы по ВСЕ з-аключение по запросу на начальника.exe». После запуска пользователем указанного исполняемого файла осуществляется внедрение на целевую систему вредоносного программного обеспечения типа «троян удаленного доступа»;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от лица УФСБ России по Санкт-Петербургу и Ленинградской области. Во вложениях указанных писем прикреплен вредоносный исполняемый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файл с наименованием «Уведомление №221 о начале комплексной проверки согласно плану утечек.exe». После открытия пользователем исполняемого файла осуществляется демонстрация документа приманки и внедрение вредоносного программного обеспечения типа «бэкдор».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2. 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Fairy Wolf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прикреплен арх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ив. Архив содержит файл с наименованием «ИСХ № 215ОП-5 от 22.07.2025.hta», после запуска пользователем которого осуществляется выполнение вредоносного VBS-скрипта и внедрение на целевую систему вредоносного программного обеспечения типа «стилер» (Unicorn);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содержится архив с наименованием «Исх 14-0554-4 от 09 06 2025 (уведомление о невыполнении соглашения).zip». Внутри архива находится файл с иде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нтичным наименованием, но с расширением «.lnk», замаскированные под официальный документ. После запуска пользователем указанного файла осуществляется выполнение вредоносного скрипта и внедрение вредоносного программного обеспечения типа «стилер» (Unicorn);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прикреплен архив с наименованием «Исх С-41251-25 от 11 08 2025 Соглашение о конфиденциальной информации.zip». Архив содержит файл с аналогичны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м наименованием с расширением «.hta», после запуска пользователем которого осуществляется выполнение вредоносного скрипта, демонстрация документа-приманки и внедрение на целевую систему вредоносного программного обеспечения типа «стилер» (Unicorn Stealer);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с тематикой «Исходящий № 215ОП-19 от 25.08.2025». Во вложениях указанных писем прикре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плен архив с наименованием «ИСХ № 215ОП-19 от 25.08.2025.hta». После запуска пользователем указанного файла осуществляется выполнение вредоносного скрипта и внедрение на целевую систему вредоносного программного обеспечения типа «стилер» (Unicorn Stealer).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3. 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Paper Werewolf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внутри которых содержатся архивы с наименованиями «DON_AVIA_TRANS_RU.rar» и «DON_AVIA_TRANS_UZ.rar», содержащие файлы с расширениями «.pdf», «.t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xt», «.lnk» и исполняемый файл с расширением «.exe». После запуска пользователем указанных файлов осуществляется демонстрация документа-приманки и внедрение вредоносного программного обеспечения для получения несанкционированного доступа к целевой системе;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сем, во вложениях которых прикреплен исполняемый файл с наименованием «Резюме.exe». После запуска пользователем указанного исполняемого файла осуществляется демонстрация документа-приманки и внедрение вредоносного программного обеспечения типа «загрузчик»;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от лица Главного управления МВД России по г. Москва с тематикой «По вопросам миграции». Во вложениях у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казанных писем прикреплен файл с наименованием «187-2325.pdf», в тексте которого пользователю предлагается перейти по ссылке, указанной в документе. По ссылке доступна веб-страница, замаскированная под сайт системы электронного документооборота МВД России,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на которой пользователю предлагается скачать архив документов. Архив содержит файлы-приманки (например, «Памятка работодателю.docx» и «Уведомление о прибытии иностранного гражданина или лица без гражданства в место пребывания.xls») и исполняемый файл с на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именованием «182-1672143-01 (исполнитель Васнецовский М.Д).exe». После запуска пользователем указанного исполняемого файла осуществляется демонстрация документа-приманки и внедрение на целевую систему вредоносного программного обеспечения типа «загрузчик»;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при осуществлении целевых компьютерных атак применяется вредоно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сное программное обеспечение типа «загрузчик». Указанное программное обеспечение представляет собой исполняемый файл с наименованием «WinService.exe», после запуска которого осуществляется внедрение на целевую систему вредоносного программного обеспечения.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4. 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Киберпартизаны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осуществляется: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распространение вред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оносного программного обеспечения типа «бэкдор» (Vasilek) и «фреймворк постэксплуатации» (Cobalt Strike), предназначенного для получения несанкционированного доступа к целевой системе и удаленного администрирования через API-запросы мессенджера «Telegram».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Для предотвращения реализац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ии угроз безопасности информации, связанных с деятельностью указанной хакерской группировки, необходимо обеспечить на уровне сетевых средств защиты информации ограничение обращений к следующим адресам, используя схему доступа по «черным» и «белым» спискам: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api[.]telegram[.]org;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rossmoor[.]org;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jrevk8g2o2ekbhz[.]okkgb[.]com;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fjh33vgad02t[.]okkgb[.]com;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okkgb[.]com; *[.]vvv392pu0[.]rossmoor[.]org; *[.]a2h3bi0[.]partspros[.]org; partspros[.]org; kdn[.]cdnkav[.]vip.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Обращаем внимание, что редактирование в активное сост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ояние ссылок на вредоносное программное обеспечение и серверы управления злоумышленников, приведенных в настоящем письме, а также переход по данным ссылкам не допускается, так как создает предпосылки к распространению вредоносного программного обеспечения.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5. 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Cloud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Werewolf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прикреплены файлы с наименованиями «Счет_a19af3ed-a30a-45a0b88d-6529f94398d4.pdf.lnk» и «Заявка_количество на поставку корпусов АО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АМЗ.pdf.lnk». После запуска пользователем указанных файлов осуществляется выполнение команд оболочки сценариев «PowerShell», демонстрация документа-приманки и внедрение на целевую систему вредоносного программного обеспечения типа «бэкдор» (Goldbackdoor);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с тематиками «О деятель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ности Ростехнадзора Республика Татарстан», «О предоставлении информации». Во вложениях указанных писем находится вредоносный файл с наименованием «O deiatel’nosti Rostekhnadzora_Respublika Tatarstan.doc» или «Соцпаспорт организации.doc». После открытия пол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ьзователем вложенного файла с удаленного ресурса скачивается RTF-файл, позволяющий эксплуатировать уязвимость пакета программ Microsoft Office, связанную с неправильной обработкой объектов в памяти (BDU:2018-00096, уровень опасности по CVSS 3.0 – высокий).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6. 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Vengeful Wolf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прикреплен архив с наименованием «1.zip». 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рхив содержит файл-приманку с наименованием «Бланк.doc» и исполняемый файл с наименованием «Акт сверки взаимных расчетов предприятия № 162 по состоянию на 1 августа 2025 года.exe» либо файл с наименованием «Акт сверки взаимных расчетов предприятия № 196 от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11 августа 2025 года.exe». После запуска пользователем указанного исполняемого файла осуществляется демонстрация документа-приманки и внедрение на целевую систему вредоносного программного обеспечения типа «троян удаленного доступа» (Revenge RAT и Xworm).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7. 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Monetary Wolf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с использованием системы электронного документооборота «Контур.Диадок» осуществляется распространение архива с наименованиями «DX2025.zip». Архив содержит вредоносный исполняемый файл, после запуска пользователем ко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торого осуществляется внедрение на целевую систему вредоносного программного обеспечения типа «червь» и «троян удаленного доступа» (Buhtrap), а также дальнейшее распространение вредоносного программного обеспечения в системах электронного документооборота.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8. 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Rare Werewolf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прикреплен архив с наименованием «технический акт № 173.2025.rar». Архив содержит исполняемый файл с наименованием 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технический акт № 173.2025.scr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», после запуска пользователем которого осуществляется внедрение на целевую систему программного обеспечения для удаленного доступа «AnyDesk»;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с тематикой «Приказ МО РФ №811 29.05.2025». Во вложениях указанных писем прикреплен архив с наименованием «Приказ ИО РФ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№811.rar», внутри которого содержится исполняемый файл с наименованием «Приказ МО РФ №811.scr». После запуска пользователем указанного исполняемого файла осуществляется внедрение на целевую систему программного обеспечения для удаленного доступа «AnyDesk»;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от лица органов государственной власти Донецкой Народной Республики. Во вложениях указанных писем прикреп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лен исполняемый файл, замаскированный по PDF-документ, после запуска пользователем которого осуществляется внедрение на целевую систему программного обеспечения для удаленного доступа «AnyDesk» и вредоносного программного обеспечения типа «майнек» (XMRig);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прикреплен архив с наименованием «Пакет документов по Дополнительному соглашению к Договору №513402-2025.rar», содержащий исполняемый файл с аналогичным наименованием с расширением «.scr» 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файл-приманку с наименованием «Калькуляция.xlsx»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. После запуска пользователем указанного исполняемого файла осуществляется внедрение на целевую систему программного обеспечения для удаленного доступа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«AnyDesk»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9. Хакерскими группировками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Team46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TaxOff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тексте которых содержится вредоносная ссылка. После открытия пользователем указанной ссылки осуществляется загрузка и внедрение на целевую систему вредоносного программного обеспечения типов «загрузчик» (TaxOff и Team46 Loader) и «бэкдор» (TaxOff Trinper).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10. 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Sapphire Werewolf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с тематикой «Служебная записка». Во вложениях указанн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ых писем содержится вредоносный исполняемый файл с наименованием «служебная записка.exe», после запуска пользователем которого осуществляется демонстрация документа-приманки и внедрение вредоносного программного обеспечения типа «стилер» (AmethystStealer).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11. 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Lone Wolf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с тематикой «Досудебная претензия». Во вложениях указанных писем прикреплен архив с наименованием «рекламация.rar», внутри которого содержат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ся вредоносные файлы с наименованиями «рекламация.pdf.lnk» и «рекламация.doc». После запуска пользователем указанных файлов осуществляется внедрение на целевую систему вредоносного программного обеспечения типа «фреймворк постэксплуатации» (Cobalt Strike).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12. 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PhantomCore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с тематикой «Транспортная накладная ТТН № 391-44 от 26.06.2025». Во вложениях указанных писем прикреплен архив с аналоги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чным наименованием с расширением «.zip», внутри которого содержится файл с расширением «.xls.lnk». После запуска пользователем указанного файла осуществляется внедрение на целевую систему вредоносного программного обеспечения типа «бэкдор» (PhantomRemote).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13. 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Fluffy Wolf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рикреплен архив с наименованием «akt_sverka04082025_1C_PDF.com», после запуска пользователем которого осуществляется внедрение на целевую систему вредоносного программного обеспечения типов «стилер» (PureLogStealer) и «троян удаленного доступа» (PureHVNC).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14. 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Scaly Wolf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торых прикреплен исполняемый файл с наименованием «Акт сверки.pdf.exe». После запуска пользователем указанного исполняемого файла осуществляется внедрение вредоносного программного обеспечения типов «бэкдор» (Trojan.Updatar1) и «троян удаленного доступа» (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Trojan.Updatar2 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Trojan.Updatar3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15. 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Kinsing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эксплуатация уязвимостей серверов и сервисов (н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апример, Docker API), доступных из сети «Интернет», под управлением операционных систем Linux. После получения несанкционированного доступа к целевой системе злоумышленники осуществляют внедрение вредоносного программного обеспечения типа «майнер» (XMRig).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Для предотвращения реализац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ии угроз безопасности информации, связанных с деятельностью указанной хакерской группировки, необходимо обеспечить на уровне сетевых средств защиты информации ограничение обращений к следующим адресам, используя схему доступа по «черным» и «белым» спискам: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45[.]15[.]158[.]124;  45[.]137[.]155[.]55;  78[.]153[.]140[.]66;  78[.]153[.]140[.]96;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92[.]242[.]40[.]21;    178[.]20[.]40[.]200;  185[.]14[.]30[.]35;  193[.]178[.]170[.]47;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194[.]38[.]20[.]2;      194[.]38[.]20[.]32;    194[.]38[.]20[.]242; 194[.]38[.]21[.]25;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194[.]38[.]22[.]53;    213[.]209[.]143[.]44.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16. 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Rainbow Hyena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прикреплен архив с наименованием «Задание на оценку №2046 от 05 августа 2025 года.zip». Архив содержит файл с аналогичным наименованием и с расширен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ием «.pdf.lnk». После запуска пользователем указанного файла осуществляется демонстрация документа-приманки и внедрение на целевую систему вредоносного программного обеспечения типов «загрузчик» (PhantomShell) и «бэкдор» (PhantomTaskShell и PhantomRemote);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прикреплен архив с наименованием «Заказ_на_ДПЭ_225.zip», содержащий файл с аналогичным наименованием и расширение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м «.pdf.lnk». После запуска пользователем указанного файла осуществляется выполнение команд оболочки сценариев «PowerShell», демонстрация документа-приманки и внедрение на целевую систему вредоносного программного обеспечения типа «бэкдор» (PhantomRemote);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прикреплены архивы с расширением «.zip», содержащие вредоносное программное обеспечение типа «троян» (PhantomPyramid), замаск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ированное под легитимные документы с использованием двойного расширения, например, «Akt priema peredachi [название организации].docx.lnk». После запуска пользователем указанного файла осуществляется получение несанкционированного доступа к целевой системе.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17. 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Bloody Wolf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от лица Генеральной прокуратуры Кыргызской Республики. Во вложениях указанных писем прикреплен файл с расширением «.pdf», в тексте которого предлагается перейти по ссылке для ознакомления с делом. После открытия пол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ьзователем указанной ссылки осуществляется загрузка файла с расширением «.jar», после запуска пользователем которого осуществляется демонстрация документа-приманки и внедрение на целевую систему программного обеспечения для удаленного доступа «NetSupport».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18. 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Silent Werewolf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прикреплен вредоносный архив с наименованиями «запланированный визит.zip»,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«измерения.zip», «обновления сентябрь 2025.zip», содержащие вредоносный файл-ярлык с расширением «.lnk» и легитимный файл-приманку. После запуска пользователем указанного файла-ярлыка осуществляется получение несанкционированного доступа к целевой системе.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19. 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NGC6061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с тем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атиками «Заявка на интервью!!!», «РУКОВОДСТВО ПОЛЬЗОВАТЕЛЯ Система электронного документооборота Минпромторга России 2025!», «Роспотрбнадзор предупреждает о возможном распространении фейковых писем». Во вложениях указанных писем прикреплен архив с паролем,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содержащий файл-ярлык с расширением «.lnk» и документ-приманку с наименованием «1.docx». После запуска пользователем указанного файла-ярлыка осуществляется загрузка и внедрение вредоносного программного обеспечения (Reverse Shell, Metasploit TCP Reverse).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20. 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Хакерской группировкой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Warlock Group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при осуществлении целевых компьютерных атак прим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еняется вредоносное программное обеспечение типа «шифровальщик» (Warlock). Для получения первоначального доступа злоумышленники эксплуатируют следующие уязвимости: BDU:2025-08436 (уровень опасности по CVSS 3.1 – высокий), BDU:2025-08524 (уровень опасности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по CVSS 3.1 – средний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),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BDU: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2025-08714 (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уровень опасности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по CVSS 3.1 – критический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) 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BDU: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2025-08787 (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уровень опасности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по CVSS 3.1 – высокий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В целях недопущения инцидентов безопасности, связанных с деятельностью указанной хакерской группировки, необходимо устранить эти уязвимости.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21. Хакерскими группировками, нацеленными на органы государственной власти и субъекты критической информационной инфраструктуры, осуществляются: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с тематикой «Внутренний запрос: Закупка товаров в странах СНГ.297411186.(4).pdf», во вложениях которых прикреплены архивы с наименованиями 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297411186.7z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», 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297411186.gz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», 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297411186.rar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» и 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297411186.tar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». Внутри архивов содержатся исполняемые файлы с расширениями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«.exe»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. После запуска пользователем указанных исполняемых файлов осуществляется внедрение на целевую систему вредоносного программного обеспечения типа «стилер» (MetaStealer);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электронных писем с тематикой «О проведении личного приема граждан список участников план и проведенная работа». Во вложениях указанных писем прикреплен архив с расширением «.rarя», внутри которого содержится исполняемый файл с наименованием «О проведении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личного приема граждан список участников план и проведенная работа.exe». После запуска пользователем указанного исполняемого файла осуществляется внедрение вредоносного программного обеспечения для получения несанкционированного доступа к целевой системе;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прикреплен архив с наименованием «Требования.rar», содержащий файл с наименованием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«Требования.lnk», после запуска пользователем которого осуществляется внедрение на целевую систему вредоносного программного обеспечения типа «фреймворк постэксплуатации» (Cobalt Strike);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с тематикой «Коммерческое предложение по инвестированию в МФО». В тексте указанных писем содержится ссылка, после открытия которого на целевую систему осуществляется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загрузка исполняемого файла с наименованием «NexCall коммерческое предложение для рынка МФО России.exe». После запуска пользователем указанного исполняемого файла осуществляется внедрение вредоносного программного обеспечения типа «шифровальщик» (Pay2Key);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ектронных писем, внутри которых содержится архив с наименованием «Scan Doc INQ 7620124803 DGL 257382245.rar», после запуска пользователем которого осуществляется внедрение на целевую систему вредоносного программного обеспечения типа «стилер» (AgentTesla);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ые рассылки электронных писем, внутри которых содержится архив с наименованием «Аппарат Правительства Российской Федерации по вопросу отнесения реализуемых на территории Сибирского федерального округа.rar», содержащий исполняемый файл с наименованием «Аппа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рат Правительства Российской Федерации по вопросу отнесения реализуемых на территории Сибирского федерального округа.exe», после запуска пользователем которого осуществляется внедрение на целевую систему вредоносного программного обеспечения типа «стилер»;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с тематикой «Заказной документ. N: 224/12028519303-1 от 05.08.25». Во вложения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х указанных писем прикреплен архив, внутри которого содержится файл с расширением «.js». После запуска пользователем указанного файла осуществляется внедрение на целевую систему вредоносного программного обеспечения типа «троян удаленного доступа» (XWorm);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писем, во вложениях которых содержится архив с наименованием «Demand_984175.zip». Архив содержит файл-приманку с наименованием «PASSWORD – 47692» и защищенный паролем архив с наименованием «Requirement.zip». Внутри архива содержится файл с наименованием «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Requirement.wsf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», после запуска пользователем которого осуществляется внедрение на целевую систему вредоносного программного обеспечения типа «троян удаленного доступа» (Efimer);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внутри которых содержатся исполняемые файлы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с расширением «.net», замаскированные под легитимные файлы программного обеспечения Microsoft Office. После запуска пользователем указанных файлов осуществляется внедрение на целевую систему программного обеспечения типа «загрузчик» (Steganography Loader);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прикреплен архив с расширением «.exe», после запуска пользователем которого осуществляется внедрение на целевую систему вредоносного программного обеспечения типа «стилер» (KiwiStealer);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распространение вредоносного программного обеспечения типа «Бэкдор» (PipeMagic), замаскированного под обновление программного обеспечения (например, Google Chrome), предназначенного для работы в системах под управлением операционных систем W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indows. Для предотвращения реализации угроз безопасности необходимо обеспечить на уровне сетевых средств защиты информации ограничение обращений к адресу aaaaabbbbbbb[.]eastus[.]cloudapp[.]azure[.]com, используя схему доступа по «черным» и «белым» спискам;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с тематикой «Служебная записка». Во вложениях указанных писем прикреплен архив с наименованием «Служебная запис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ка от 12.08.2025.rar». Архив содержит исполняемый файл с аналогичным наименованием и расширением «.exe», после запуска пользователем которого осуществляется внедрение на целевую систему вредоносного программного обеспечения типа «троян удаленного доступа»;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с тематикой «Аппарат Правительства Российской Федерации по вопросу отнесения реализуемых на территории Сибирского федерального округа». Во вложениях указанных писем прикреплен архив с аналогичным наиме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нованием и расширением «.rar», внутри которого содержится файл с расширением «.exe». После запуска пользователей указанного исполняемого файла осуществляется внедрение на целевую систему вредоносного программного обеспечения тип «троян удаленного доступа»;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при реализации компьютерных атак применение вредоносного программного обеспечения типа «бэкдор» (Vshell), предназначенного для получения несанкцион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ированного доступа к целевой системе под управлением операционных систем Linux. Для предотвращения реализации данной угрозы необходимо обеспечить ограничение обращений к IP-адресу 47[.]98[.]194[.]60, используя схему доступа по «черным» или «белым» спискам;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электронных писем, во вложениях которых прикреплен архив с наименованием «Прикрепленная копия платежа №06162025.rar», содержащий файл с аналогичным наименованием и расширением «.iso», после запуска пользователем которого осуществляется монтирование в систе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ме образа диска. Образ содержит исполняемый файл с расширением «.exe», после запуска пользователем которого осуществляется демонстрация документа-приманки и внедрение на целевую систему вредоносного программного обеспечения типа «стилер» (Phantom Stealer);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 с тематикой «новая спецификация». Во вложениях указанных писем прикреплен архив, сод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ержащий вредоносное программное обеспечение типа «загрузчик» (GuLoader). После запуска пользователем файлов из указанного архива осуществляется внедрение на целевую систему вредоносного программного обеспечения типа «троян удаленного доступа» (Remcos RAT);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во вложениях которых прикреплен архив с расшире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нием «.rar», содержащий файл-приманку с наименованием «Aircrafts Pobeda.pdf» и вредоносный скрипт с наименованием «scan 26 08 2025.bat». После запуска пользователем указанного скрипта осуществляется получение несанкционированного доступа к целевой системе;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замаскированных под отправку судебных документов. Во вложениях указанных писем находится вредоносный исполняемый файл с наименованием «Исковое заявление о взыскании убытков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 и морального вреда в связи с нарушением условий договора № 1234 от 28 августа.exe». После открытия пользователем указанного исполняемого файла осуществляется внедрение на целевую систему вредоносного программного обеспечения типа «стилер» (MarkerStealer);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p>
      <w:pPr>
        <w:contextualSpacing w:val="0"/>
        <w:ind w:left="-567" w:right="0" w:firstLine="567"/>
        <w:jc w:val="both"/>
        <w:spacing w:after="0" w:afterAutospacing="0" w:line="425" w:lineRule="exac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фишинговые рассылки электронных писем, содержащих вредоносные архивы с расширением «.ra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  <w:t xml:space="preserve">r». После открытия пользователем файлов из архива осуществляется эксплуатация уязвимости файлового архиватора WinRAR, связанной с неверным ограничением имени пути к каталогу с ограниченным доступом (BDU:2025-09597, уровень опасности по CVSS 3.1 – высокий).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  <w:u w:val="none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567" w:right="850" w:bottom="1134" w:left="1559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愀渀">
    <w:panose1 w:val="02000603000000000000"/>
  </w:font>
  <w:font w:name="Liberation Serif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basedOn w:val="884"/>
    <w:next w:val="884"/>
    <w:link w:val="7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9">
    <w:name w:val="Heading 1 Char"/>
    <w:link w:val="708"/>
    <w:uiPriority w:val="9"/>
    <w:rPr>
      <w:rFonts w:ascii="Arial" w:hAnsi="Arial" w:eastAsia="Arial" w:cs="Arial"/>
      <w:sz w:val="40"/>
      <w:szCs w:val="40"/>
    </w:rPr>
  </w:style>
  <w:style w:type="paragraph" w:styleId="710">
    <w:name w:val="Heading 2"/>
    <w:basedOn w:val="884"/>
    <w:next w:val="884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1">
    <w:name w:val="Heading 2 Char"/>
    <w:link w:val="710"/>
    <w:uiPriority w:val="9"/>
    <w:rPr>
      <w:rFonts w:ascii="Arial" w:hAnsi="Arial" w:eastAsia="Arial" w:cs="Arial"/>
      <w:sz w:val="34"/>
    </w:rPr>
  </w:style>
  <w:style w:type="paragraph" w:styleId="712">
    <w:name w:val="Heading 3"/>
    <w:basedOn w:val="884"/>
    <w:next w:val="884"/>
    <w:link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3">
    <w:name w:val="Heading 3 Char"/>
    <w:link w:val="712"/>
    <w:uiPriority w:val="9"/>
    <w:rPr>
      <w:rFonts w:ascii="Arial" w:hAnsi="Arial" w:eastAsia="Arial" w:cs="Arial"/>
      <w:sz w:val="30"/>
      <w:szCs w:val="30"/>
    </w:rPr>
  </w:style>
  <w:style w:type="paragraph" w:styleId="714">
    <w:name w:val="Heading 4"/>
    <w:basedOn w:val="884"/>
    <w:next w:val="884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5">
    <w:name w:val="Heading 4 Char"/>
    <w:link w:val="714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84"/>
    <w:next w:val="884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84"/>
    <w:next w:val="884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84"/>
    <w:next w:val="884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84"/>
    <w:next w:val="884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84"/>
    <w:next w:val="884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Title"/>
    <w:basedOn w:val="884"/>
    <w:next w:val="884"/>
    <w:link w:val="72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7">
    <w:name w:val="Title Char"/>
    <w:link w:val="726"/>
    <w:uiPriority w:val="10"/>
    <w:rPr>
      <w:sz w:val="48"/>
      <w:szCs w:val="48"/>
    </w:rPr>
  </w:style>
  <w:style w:type="paragraph" w:styleId="728">
    <w:name w:val="Subtitle"/>
    <w:basedOn w:val="884"/>
    <w:next w:val="884"/>
    <w:link w:val="729"/>
    <w:uiPriority w:val="11"/>
    <w:qFormat/>
    <w:pPr>
      <w:spacing w:before="200" w:after="200"/>
    </w:pPr>
    <w:rPr>
      <w:sz w:val="24"/>
      <w:szCs w:val="24"/>
    </w:rPr>
  </w:style>
  <w:style w:type="character" w:styleId="729">
    <w:name w:val="Subtitle Char"/>
    <w:link w:val="728"/>
    <w:uiPriority w:val="11"/>
    <w:rPr>
      <w:sz w:val="24"/>
      <w:szCs w:val="24"/>
    </w:rPr>
  </w:style>
  <w:style w:type="paragraph" w:styleId="730">
    <w:name w:val="Quote"/>
    <w:basedOn w:val="884"/>
    <w:next w:val="884"/>
    <w:link w:val="731"/>
    <w:uiPriority w:val="29"/>
    <w:qFormat/>
    <w:pPr>
      <w:ind w:left="720" w:right="720"/>
    </w:pPr>
    <w:rPr>
      <w:i/>
    </w:rPr>
  </w:style>
  <w:style w:type="character" w:styleId="731">
    <w:name w:val="Quote Char"/>
    <w:link w:val="730"/>
    <w:uiPriority w:val="29"/>
    <w:rPr>
      <w:i/>
    </w:rPr>
  </w:style>
  <w:style w:type="paragraph" w:styleId="732">
    <w:name w:val="Intense Quote"/>
    <w:basedOn w:val="884"/>
    <w:next w:val="884"/>
    <w:link w:val="73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>
    <w:name w:val="Intense Quote Char"/>
    <w:link w:val="732"/>
    <w:uiPriority w:val="30"/>
    <w:rPr>
      <w:i/>
    </w:rPr>
  </w:style>
  <w:style w:type="paragraph" w:styleId="734">
    <w:name w:val="Header"/>
    <w:basedOn w:val="884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Header Char"/>
    <w:link w:val="734"/>
    <w:uiPriority w:val="99"/>
  </w:style>
  <w:style w:type="paragraph" w:styleId="736">
    <w:name w:val="Footer"/>
    <w:basedOn w:val="884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>
    <w:name w:val="Footer Char"/>
    <w:link w:val="736"/>
    <w:uiPriority w:val="99"/>
  </w:style>
  <w:style w:type="paragraph" w:styleId="738">
    <w:name w:val="Caption"/>
    <w:basedOn w:val="884"/>
    <w:next w:val="884"/>
    <w:link w:val="7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9">
    <w:name w:val="Caption Char"/>
    <w:basedOn w:val="738"/>
    <w:link w:val="736"/>
    <w:uiPriority w:val="99"/>
  </w:style>
  <w:style w:type="table" w:styleId="740">
    <w:name w:val="Table Grid"/>
    <w:basedOn w:val="88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Table Grid Light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7">
    <w:name w:val="Grid Table 1 Light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4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9">
    <w:name w:val="Grid Table 4 - Accent 1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0">
    <w:name w:val="Grid Table 4 - Accent 2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1">
    <w:name w:val="Grid Table 4 - Accent 3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2">
    <w:name w:val="Grid Table 4 - Accent 4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3">
    <w:name w:val="Grid Table 4 - Accent 5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4">
    <w:name w:val="Grid Table 4 - Accent 6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5">
    <w:name w:val="Grid Table 5 Dark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2">
    <w:name w:val="Grid Table 6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4">
    <w:name w:val="List Table 2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5">
    <w:name w:val="List Table 2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6">
    <w:name w:val="List Table 2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7">
    <w:name w:val="List Table 2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8">
    <w:name w:val="List Table 2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9">
    <w:name w:val="List Table 2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0">
    <w:name w:val="List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2">
    <w:name w:val="List Table 6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3">
    <w:name w:val="List Table 6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4">
    <w:name w:val="List Table 6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5">
    <w:name w:val="List Table 6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6">
    <w:name w:val="List Table 6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7">
    <w:name w:val="List Table 6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8">
    <w:name w:val="List Table 7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0">
    <w:name w:val="List Table 7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1">
    <w:name w:val="List Table 7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2">
    <w:name w:val="List Table 7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3">
    <w:name w:val="List Table 7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4">
    <w:name w:val="List Table 7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5">
    <w:name w:val="Lined - Accent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Lined - Accent 1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7">
    <w:name w:val="Lined - Accent 2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8">
    <w:name w:val="Lined - Accent 3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9">
    <w:name w:val="Lined - Accent 4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0">
    <w:name w:val="Lined - Accent 5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1">
    <w:name w:val="Lined - Accent 6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2">
    <w:name w:val="Bordered &amp; Lined - Accent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Bordered &amp; Lined - Accent 1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4">
    <w:name w:val="Bordered &amp; Lined - Accent 2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5">
    <w:name w:val="Bordered &amp; Lined - Accent 3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6">
    <w:name w:val="Bordered &amp; Lined - Accent 4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7">
    <w:name w:val="Bordered &amp; Lined - Accent 5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8">
    <w:name w:val="Bordered &amp; Lined - Accent 6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9">
    <w:name w:val="Bordered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0">
    <w:name w:val="Bordered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1">
    <w:name w:val="Bordered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2">
    <w:name w:val="Bordered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3">
    <w:name w:val="Bordered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4">
    <w:name w:val="Bordered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5">
    <w:name w:val="Bordered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6">
    <w:name w:val="Hyperlink"/>
    <w:uiPriority w:val="99"/>
    <w:unhideWhenUsed/>
    <w:rPr>
      <w:color w:val="0000ff" w:themeColor="hyperlink"/>
      <w:u w:val="single"/>
    </w:rPr>
  </w:style>
  <w:style w:type="paragraph" w:styleId="867">
    <w:name w:val="footnote text"/>
    <w:basedOn w:val="884"/>
    <w:link w:val="868"/>
    <w:uiPriority w:val="99"/>
    <w:semiHidden/>
    <w:unhideWhenUsed/>
    <w:pPr>
      <w:spacing w:after="40" w:line="240" w:lineRule="auto"/>
    </w:pPr>
    <w:rPr>
      <w:sz w:val="18"/>
    </w:rPr>
  </w:style>
  <w:style w:type="character" w:styleId="868">
    <w:name w:val="Footnote Text Char"/>
    <w:link w:val="867"/>
    <w:uiPriority w:val="99"/>
    <w:rPr>
      <w:sz w:val="18"/>
    </w:rPr>
  </w:style>
  <w:style w:type="character" w:styleId="869">
    <w:name w:val="footnote reference"/>
    <w:uiPriority w:val="99"/>
    <w:unhideWhenUsed/>
    <w:rPr>
      <w:vertAlign w:val="superscript"/>
    </w:rPr>
  </w:style>
  <w:style w:type="paragraph" w:styleId="870">
    <w:name w:val="endnote text"/>
    <w:basedOn w:val="884"/>
    <w:link w:val="871"/>
    <w:uiPriority w:val="99"/>
    <w:semiHidden/>
    <w:unhideWhenUsed/>
    <w:pPr>
      <w:spacing w:after="0" w:line="240" w:lineRule="auto"/>
    </w:pPr>
    <w:rPr>
      <w:sz w:val="20"/>
    </w:r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uiPriority w:val="99"/>
    <w:semiHidden/>
    <w:unhideWhenUsed/>
    <w:rPr>
      <w:vertAlign w:val="superscript"/>
    </w:rPr>
  </w:style>
  <w:style w:type="paragraph" w:styleId="873">
    <w:name w:val="toc 1"/>
    <w:basedOn w:val="884"/>
    <w:next w:val="884"/>
    <w:uiPriority w:val="39"/>
    <w:unhideWhenUsed/>
    <w:pPr>
      <w:ind w:left="0" w:right="0" w:firstLine="0"/>
      <w:spacing w:after="57"/>
    </w:pPr>
  </w:style>
  <w:style w:type="paragraph" w:styleId="874">
    <w:name w:val="toc 2"/>
    <w:basedOn w:val="884"/>
    <w:next w:val="884"/>
    <w:uiPriority w:val="39"/>
    <w:unhideWhenUsed/>
    <w:pPr>
      <w:ind w:left="283" w:right="0" w:firstLine="0"/>
      <w:spacing w:after="57"/>
    </w:pPr>
  </w:style>
  <w:style w:type="paragraph" w:styleId="875">
    <w:name w:val="toc 3"/>
    <w:basedOn w:val="884"/>
    <w:next w:val="884"/>
    <w:uiPriority w:val="39"/>
    <w:unhideWhenUsed/>
    <w:pPr>
      <w:ind w:left="567" w:right="0" w:firstLine="0"/>
      <w:spacing w:after="57"/>
    </w:pPr>
  </w:style>
  <w:style w:type="paragraph" w:styleId="876">
    <w:name w:val="toc 4"/>
    <w:basedOn w:val="884"/>
    <w:next w:val="884"/>
    <w:uiPriority w:val="39"/>
    <w:unhideWhenUsed/>
    <w:pPr>
      <w:ind w:left="850" w:right="0" w:firstLine="0"/>
      <w:spacing w:after="57"/>
    </w:pPr>
  </w:style>
  <w:style w:type="paragraph" w:styleId="877">
    <w:name w:val="toc 5"/>
    <w:basedOn w:val="884"/>
    <w:next w:val="884"/>
    <w:uiPriority w:val="39"/>
    <w:unhideWhenUsed/>
    <w:pPr>
      <w:ind w:left="1134" w:right="0" w:firstLine="0"/>
      <w:spacing w:after="57"/>
    </w:pPr>
  </w:style>
  <w:style w:type="paragraph" w:styleId="878">
    <w:name w:val="toc 6"/>
    <w:basedOn w:val="884"/>
    <w:next w:val="884"/>
    <w:uiPriority w:val="39"/>
    <w:unhideWhenUsed/>
    <w:pPr>
      <w:ind w:left="1417" w:right="0" w:firstLine="0"/>
      <w:spacing w:after="57"/>
    </w:pPr>
  </w:style>
  <w:style w:type="paragraph" w:styleId="879">
    <w:name w:val="toc 7"/>
    <w:basedOn w:val="884"/>
    <w:next w:val="884"/>
    <w:uiPriority w:val="39"/>
    <w:unhideWhenUsed/>
    <w:pPr>
      <w:ind w:left="1701" w:right="0" w:firstLine="0"/>
      <w:spacing w:after="57"/>
    </w:pPr>
  </w:style>
  <w:style w:type="paragraph" w:styleId="880">
    <w:name w:val="toc 8"/>
    <w:basedOn w:val="884"/>
    <w:next w:val="884"/>
    <w:uiPriority w:val="39"/>
    <w:unhideWhenUsed/>
    <w:pPr>
      <w:ind w:left="1984" w:right="0" w:firstLine="0"/>
      <w:spacing w:after="57"/>
    </w:pPr>
  </w:style>
  <w:style w:type="paragraph" w:styleId="881">
    <w:name w:val="toc 9"/>
    <w:basedOn w:val="884"/>
    <w:next w:val="884"/>
    <w:uiPriority w:val="39"/>
    <w:unhideWhenUsed/>
    <w:pPr>
      <w:ind w:left="2268" w:right="0" w:firstLine="0"/>
      <w:spacing w:after="57"/>
    </w:pPr>
  </w:style>
  <w:style w:type="paragraph" w:styleId="882">
    <w:name w:val="TOC Heading"/>
    <w:uiPriority w:val="39"/>
    <w:unhideWhenUsed/>
  </w:style>
  <w:style w:type="paragraph" w:styleId="883">
    <w:name w:val="table of figures"/>
    <w:basedOn w:val="884"/>
    <w:next w:val="884"/>
    <w:uiPriority w:val="99"/>
    <w:unhideWhenUsed/>
    <w:pPr>
      <w:spacing w:after="0" w:afterAutospacing="0"/>
    </w:pPr>
  </w:style>
  <w:style w:type="paragraph" w:styleId="884" w:default="1">
    <w:name w:val="Normal"/>
    <w:qFormat/>
  </w:style>
  <w:style w:type="table" w:styleId="8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6" w:default="1">
    <w:name w:val="No List"/>
    <w:uiPriority w:val="99"/>
    <w:semiHidden/>
    <w:unhideWhenUsed/>
  </w:style>
  <w:style w:type="paragraph" w:styleId="887">
    <w:name w:val="No Spacing"/>
    <w:basedOn w:val="884"/>
    <w:uiPriority w:val="1"/>
    <w:qFormat/>
    <w:pPr>
      <w:spacing w:after="0" w:line="240" w:lineRule="auto"/>
    </w:pPr>
  </w:style>
  <w:style w:type="paragraph" w:styleId="888">
    <w:name w:val="List Paragraph"/>
    <w:basedOn w:val="884"/>
    <w:uiPriority w:val="34"/>
    <w:qFormat/>
    <w:pPr>
      <w:contextualSpacing/>
      <w:ind w:left="720"/>
    </w:pPr>
  </w:style>
  <w:style w:type="character" w:styleId="889" w:default="1">
    <w:name w:val="Default Paragraph Font"/>
    <w:uiPriority w:val="1"/>
    <w:semiHidden/>
    <w:unhideWhenUsed/>
  </w:style>
  <w:style w:type="character" w:styleId="890" w:customStyle="1">
    <w:name w:val="CharStyle3"/>
    <w:rPr>
      <w:rFonts w:ascii="Liberation Serif" w:hAnsi="Liberation Serif" w:eastAsia="Liberation Serif" w:cs="Liberation Serif"/>
      <w:b w:val="0"/>
      <w:bCs w:val="0"/>
      <w:i w:val="0"/>
      <w:iCs w:val="0"/>
      <w:strike w:val="0"/>
      <w:color w:val="000000"/>
      <w:spacing w:val="0"/>
      <w:position w:val="0"/>
      <w:sz w:val="26"/>
      <w:szCs w:val="26"/>
      <w:u w:val="none"/>
      <w:vertAlign w:val="baseline"/>
      <w:lang w:val="ru-RU" w:eastAsia="ru-RU" w:bidi="ru-RU"/>
    </w:rPr>
  </w:style>
  <w:style w:type="paragraph" w:styleId="891" w:customStyle="1">
    <w:name w:val="Standard (user)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愀渀" w:hAnsi="Times New Rom愀渀" w:eastAsia="Times New Rom愀渀" w:cs="Times New Rom愀渀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shd w:val="clear" w:color="auto" w:fill="auto"/>
      <w:vertAlign w:val="baseline"/>
      <w:rtl w:val="0"/>
      <w:cs w:val="0"/>
      <w:lang w:val="ru-RU" w:eastAsia="zh-CN" w:bidi="ar-SA"/>
      <w14:ligatures w14:val="none"/>
    </w:rPr>
  </w:style>
  <w:style w:type="character" w:styleId="892" w:customStyle="1">
    <w:name w:val="Основной шрифт абзаца"/>
    <w:qFormat/>
  </w:style>
  <w:style w:type="paragraph" w:styleId="893" w:customStyle="1">
    <w:name w:val="Standard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clear" w:color="auto" w:fill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愀渀" w:hAnsi="Times New Rom愀渀" w:eastAsia="Times New Rom愀渀" w:cs="Times New Rom愀渀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shd w:val="clear" w:color="auto" w:fill="auto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medjidov_a</cp:lastModifiedBy>
  <cp:revision>23</cp:revision>
  <dcterms:modified xsi:type="dcterms:W3CDTF">2025-10-06T08:43:57Z</dcterms:modified>
</cp:coreProperties>
</file>